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17"/>
      </w:pPr>
    </w:p>
    <w:p>
      <w:pPr>
        <w:pStyle w:val="17"/>
      </w:pPr>
    </w:p>
    <w:p>
      <w:pPr>
        <w:pStyle w:val="17"/>
      </w:pPr>
      <w:r>
        <w:rPr>
          <w:rFonts w:hint="eastAsia"/>
        </w:rPr>
        <w:t>南京交通职业技术学院数字化校园项目</w:t>
      </w:r>
    </w:p>
    <w:p>
      <w:pPr>
        <w:pStyle w:val="17"/>
      </w:pPr>
      <w:r>
        <w:rPr>
          <w:rFonts w:hint="eastAsia"/>
        </w:rPr>
        <w:t>学工信息管理</w:t>
      </w:r>
      <w:r>
        <w:t>系统</w:t>
      </w:r>
    </w:p>
    <w:p>
      <w:pPr>
        <w:pStyle w:val="17"/>
      </w:pPr>
      <w:r>
        <w:rPr>
          <w:rFonts w:hint="eastAsia"/>
        </w:rPr>
        <w:t>勤工助学</w:t>
      </w:r>
      <w:r>
        <w:t>模块</w:t>
      </w:r>
    </w:p>
    <w:p>
      <w:pPr>
        <w:pStyle w:val="17"/>
      </w:pPr>
      <w:r>
        <w:rPr>
          <w:rFonts w:hint="eastAsia"/>
          <w:lang w:eastAsia="zh-CN"/>
        </w:rPr>
        <w:t>用工单位</w:t>
      </w:r>
      <w:r>
        <w:rPr>
          <w:rFonts w:hint="eastAsia"/>
        </w:rPr>
        <w:t>使用手册</w:t>
      </w: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  <w:rPr>
          <w:rFonts w:hint="eastAsia"/>
        </w:rPr>
      </w:pPr>
    </w:p>
    <w:p>
      <w:pPr>
        <w:pStyle w:val="17"/>
        <w:rPr>
          <w:rFonts w:hint="eastAsia"/>
          <w:sz w:val="32"/>
          <w:szCs w:val="32"/>
        </w:rPr>
      </w:pPr>
      <w:r>
        <w:rPr>
          <w:rFonts w:hint="eastAsia"/>
          <w:bCs w:val="0"/>
          <w:sz w:val="32"/>
          <w:szCs w:val="32"/>
        </w:rPr>
        <w:t>编制时间：二〇一四</w:t>
      </w:r>
      <w:r>
        <w:rPr>
          <w:bCs w:val="0"/>
          <w:sz w:val="32"/>
          <w:szCs w:val="32"/>
        </w:rPr>
        <w:t>年</w:t>
      </w:r>
      <w:r>
        <w:rPr>
          <w:rFonts w:hint="eastAsia"/>
          <w:bCs w:val="0"/>
          <w:sz w:val="32"/>
          <w:szCs w:val="32"/>
        </w:rPr>
        <w:t>九月</w:t>
      </w:r>
    </w:p>
    <w:p>
      <w:pPr>
        <w:widowControl/>
        <w:spacing w:before="0" w:beforeAutospacing="0" w:after="0" w:afterAutospacing="0"/>
        <w:jc w:val="left"/>
        <w:rPr>
          <w:rFonts w:ascii="宋体" w:hAnsi="宋体" w:cs="宋体"/>
          <w:b/>
          <w:bCs/>
          <w:sz w:val="44"/>
          <w:szCs w:val="20"/>
        </w:rPr>
      </w:pPr>
      <w:r>
        <w:br w:type="page"/>
      </w:r>
    </w:p>
    <w:p>
      <w:pPr>
        <w:pStyle w:val="17"/>
      </w:pPr>
    </w:p>
    <w:p>
      <w:pPr>
        <w:widowControl/>
        <w:spacing w:before="0" w:beforeAutospacing="0" w:after="0" w:afterAutospacing="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pStyle w:val="14"/>
      </w:pPr>
      <w:r>
        <w:rPr>
          <w:rFonts w:hint="eastAsia"/>
        </w:rPr>
        <w:t>第一步：登陆</w:t>
      </w:r>
    </w:p>
    <w:p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登陆学院门户平台</w:t>
      </w:r>
      <w:r>
        <w:fldChar w:fldCharType="begin"/>
      </w:r>
      <w:r>
        <w:instrText xml:space="preserve">HYPERLINK "http://my.njci.edu.cn/" </w:instrText>
      </w:r>
      <w:r>
        <w:fldChar w:fldCharType="separate"/>
      </w:r>
      <w:r>
        <w:rPr>
          <w:rStyle w:val="16"/>
          <w:rFonts w:hint="eastAsia"/>
          <w:sz w:val="24"/>
        </w:rPr>
        <w:t>http://my.njci.edu.cn</w:t>
      </w:r>
      <w:r>
        <w:fldChar w:fldCharType="end"/>
      </w:r>
      <w:r>
        <w:rPr>
          <w:rFonts w:hint="eastAsia"/>
          <w:sz w:val="24"/>
        </w:rPr>
        <w:t>,</w:t>
      </w:r>
      <w:r>
        <w:rPr>
          <w:rFonts w:hint="eastAsia"/>
          <w:b/>
          <w:color w:val="FF0000"/>
          <w:sz w:val="24"/>
        </w:rPr>
        <w:t>用户名</w:t>
      </w:r>
      <w:r>
        <w:rPr>
          <w:rFonts w:hint="eastAsia"/>
          <w:sz w:val="24"/>
        </w:rPr>
        <w:t>处输入</w:t>
      </w:r>
      <w:r>
        <w:rPr>
          <w:rFonts w:hint="eastAsia"/>
          <w:sz w:val="24"/>
          <w:lang w:eastAsia="zh-CN"/>
        </w:rPr>
        <w:t>工</w:t>
      </w:r>
      <w:bookmarkStart w:id="4" w:name="_GoBack"/>
      <w:bookmarkEnd w:id="4"/>
      <w:r>
        <w:rPr>
          <w:rFonts w:hint="eastAsia"/>
          <w:sz w:val="24"/>
        </w:rPr>
        <w:t>号，</w:t>
      </w:r>
      <w:r>
        <w:rPr>
          <w:rFonts w:hint="eastAsia"/>
          <w:b/>
          <w:color w:val="FF0000"/>
          <w:sz w:val="24"/>
        </w:rPr>
        <w:t>密码</w:t>
      </w:r>
      <w:r>
        <w:rPr>
          <w:rFonts w:hint="eastAsia"/>
          <w:sz w:val="24"/>
        </w:rPr>
        <w:t>处输入默认的个人身份证后六位(如果</w:t>
      </w:r>
      <w:r>
        <w:rPr>
          <w:sz w:val="24"/>
        </w:rPr>
        <w:t>末尾是X请尝试大写或小写</w:t>
      </w:r>
      <w:r>
        <w:rPr>
          <w:rFonts w:hint="eastAsia"/>
          <w:sz w:val="24"/>
        </w:rPr>
        <w:t>)，操作截图如下：</w:t>
      </w:r>
    </w:p>
    <w:p>
      <w:pPr>
        <w:ind w:left="420"/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Rounded Rectangular Callout 3" o:spid="_x0000_s1026" type="#_x0000_t62" style="position:absolute;left:0;margin-left:205.5pt;margin-top:33.8pt;height:31.5pt;width:115.5pt;rotation:0f;z-index:251658240;" o:ole="f" fillcolor="#FFFFFF" filled="t" o:preferrelative="t" stroked="t" coordorigin="0,0" coordsize="21600,21600" adj="-5816,-12857">
            <v:stroke color="#FFC000" color2="#FFFFFF" miterlimit="2" dashstyle="dash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此处</w:t>
                  </w:r>
                  <w:r>
                    <w:t>输入</w:t>
                  </w:r>
                  <w:r>
                    <w:rPr>
                      <w:rFonts w:hint="eastAsia"/>
                    </w:rPr>
                    <w:t>网址</w:t>
                  </w:r>
                </w:p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Rounded Rectangular Callout 2" o:spid="_x0000_s1027" type="#_x0000_t62" style="position:absolute;left:0;margin-left:-15.75pt;margin-top:46.55pt;height:31.5pt;width:115.5pt;rotation:0f;z-index:251659264;" o:ole="f" fillcolor="#FFFFFF" filled="t" o:preferrelative="t" stroked="t" coordorigin="0,0" coordsize="21600,21600" adj="24340,41657">
            <v:stroke color="#FFC000" color2="#FFFFFF" miterlimit="2" dashstyle="dash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此处</w:t>
                  </w:r>
                  <w:r>
                    <w:t>输入账号</w:t>
                  </w:r>
                  <w:r>
                    <w:rPr>
                      <w:rFonts w:hint="eastAsia"/>
                    </w:rPr>
                    <w:t>\密码</w:t>
                  </w:r>
                </w:p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图片 1" o:spid="_x0000_s1028" type="#_x0000_t75" style="height:212.25pt;width:414.8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4"/>
      </w:pPr>
      <w:bookmarkStart w:id="0" w:name="_Toc399345562"/>
      <w:r>
        <w:rPr>
          <w:rFonts w:hint="eastAsia"/>
        </w:rPr>
        <w:t>第二步：打开办理页面</w:t>
      </w:r>
      <w:bookmarkEnd w:id="0"/>
      <w:r>
        <w:t xml:space="preserve"> </w:t>
      </w:r>
    </w:p>
    <w:p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在门户，点击学工系统图标，进入学工系统，操作截图如下：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Oval Callout 4" o:spid="_x0000_s1029" type="#_x0000_t63" style="position:absolute;left:0;margin-left:315.1pt;margin-top:66.1pt;height:39.2pt;width:82.25pt;rotation:0f;z-index:251660288;" o:ole="f" fillcolor="#FFFFFF" filled="t" o:preferrelative="t" stroked="t" coordorigin="0,0" coordsize="21600,21600" adj="-5699,26587">
            <v:stroke color="#F79646" color2="#FFFFFF" miterlimit="2" dashstyle="dash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点击这里</w:t>
                  </w:r>
                </w:p>
              </w:txbxContent>
            </v:textbox>
          </v:shape>
        </w:pic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图片 1" o:spid="_x0000_s1030" type="#_x0000_t75" style="height:193.6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4"/>
      </w:pPr>
    </w:p>
    <w:p>
      <w:pPr>
        <w:pStyle w:val="14"/>
      </w:pPr>
    </w:p>
    <w:p>
      <w:pPr>
        <w:pStyle w:val="14"/>
      </w:pPr>
      <w:r>
        <w:rPr>
          <w:rFonts w:hint="eastAsia"/>
        </w:rPr>
        <w:t>第三步：启动发布岗位申请</w:t>
      </w:r>
    </w:p>
    <w:p/>
    <w:p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通过信息</w:t>
      </w:r>
      <w:r>
        <w:rPr>
          <w:sz w:val="24"/>
        </w:rPr>
        <w:t>门户进入</w:t>
      </w:r>
      <w:r>
        <w:rPr>
          <w:rFonts w:hint="eastAsia"/>
          <w:sz w:val="24"/>
        </w:rPr>
        <w:t>学生信息管理</w:t>
      </w:r>
      <w:r>
        <w:rPr>
          <w:sz w:val="24"/>
        </w:rPr>
        <w:t>系统后</w:t>
      </w:r>
      <w:r>
        <w:rPr>
          <w:rFonts w:hint="eastAsia"/>
          <w:sz w:val="24"/>
        </w:rPr>
        <w:t>，点击</w:t>
      </w:r>
      <w:r>
        <w:rPr>
          <w:sz w:val="24"/>
        </w:rPr>
        <w:t>左侧菜单中的“</w:t>
      </w:r>
      <w:r>
        <w:rPr>
          <w:rFonts w:hint="eastAsia"/>
          <w:b/>
          <w:color w:val="FF0000"/>
          <w:sz w:val="24"/>
        </w:rPr>
        <w:t>我的</w:t>
      </w:r>
      <w:r>
        <w:rPr>
          <w:b/>
          <w:color w:val="FF0000"/>
          <w:sz w:val="24"/>
        </w:rPr>
        <w:t>事务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 xml:space="preserve"> “</w:t>
      </w:r>
      <w:r>
        <w:rPr>
          <w:rFonts w:hint="eastAsia"/>
          <w:b/>
          <w:color w:val="FF0000"/>
          <w:sz w:val="24"/>
        </w:rPr>
        <w:t>勤工助学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>“</w:t>
      </w:r>
      <w:r>
        <w:rPr>
          <w:rFonts w:hint="eastAsia"/>
          <w:b/>
          <w:color w:val="FF0000"/>
          <w:sz w:val="24"/>
        </w:rPr>
        <w:t>勤工助学发布岗位申请</w:t>
      </w:r>
      <w:r>
        <w:rPr>
          <w:sz w:val="24"/>
        </w:rPr>
        <w:t>”</w:t>
      </w:r>
      <w:r>
        <w:rPr>
          <w:rFonts w:hint="eastAsia"/>
          <w:sz w:val="24"/>
        </w:rPr>
        <w:t>， 点击打开勤工助学发布岗位申请</w:t>
      </w:r>
      <w:r>
        <w:rPr>
          <w:sz w:val="24"/>
        </w:rPr>
        <w:t>页面</w:t>
      </w:r>
      <w:r>
        <w:rPr>
          <w:rFonts w:hint="eastAsia"/>
          <w:sz w:val="24"/>
        </w:rPr>
        <w:t>后，点击</w:t>
      </w:r>
      <w:r>
        <w:rPr>
          <w:sz w:val="24"/>
        </w:rPr>
        <w:t>页面中</w:t>
      </w:r>
      <w:r>
        <w:rPr>
          <w:rFonts w:hint="eastAsia"/>
          <w:sz w:val="24"/>
        </w:rPr>
        <w:t>“</w:t>
      </w:r>
      <w:r>
        <w:rPr>
          <w:rFonts w:hint="eastAsia"/>
          <w:b/>
          <w:color w:val="FF0000"/>
          <w:sz w:val="24"/>
        </w:rPr>
        <w:t>启动</w:t>
      </w:r>
      <w:r>
        <w:rPr>
          <w:rFonts w:hint="eastAsia"/>
          <w:sz w:val="24"/>
        </w:rPr>
        <w:t>”</w:t>
      </w:r>
      <w:r>
        <w:rPr>
          <w:sz w:val="24"/>
        </w:rPr>
        <w:t>，</w:t>
      </w:r>
      <w:r>
        <w:rPr>
          <w:rFonts w:hint="eastAsia"/>
          <w:sz w:val="24"/>
        </w:rPr>
        <w:t>启动一个发布勤工助学岗位的流程，</w:t>
      </w:r>
      <w:r>
        <w:rPr>
          <w:sz w:val="24"/>
        </w:rPr>
        <w:t>操作界面如下</w:t>
      </w:r>
      <w:r>
        <w:rPr>
          <w:rFonts w:hint="eastAsia"/>
          <w:sz w:val="24"/>
        </w:rPr>
        <w:t>：</w:t>
      </w:r>
    </w:p>
    <w:p>
      <w:pPr>
        <w:ind w:left="420"/>
        <w:rPr>
          <w:sz w:val="24"/>
        </w:rPr>
      </w:pPr>
      <w:r>
        <w:rPr>
          <w:rFonts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pict>
          <v:shape id="图片 4" o:spid="_x0000_s1031" type="#_x0000_t75" style="height:171.4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按实际情况填好表单，点击提交，提交给学工处管理员审核，通过后就完成了一次勤工助学岗位的发布，之后学生就可以根据需求进行申请了。</w:t>
      </w:r>
    </w:p>
    <w:p>
      <w:pPr>
        <w:pStyle w:val="14"/>
      </w:pPr>
      <w:r>
        <w:rPr>
          <w:rFonts w:hint="eastAsia"/>
        </w:rPr>
        <w:t>第四步：勤工助学学生申请审核</w:t>
      </w:r>
    </w:p>
    <w:p>
      <w:pPr>
        <w:pStyle w:val="18"/>
        <w:numPr>
          <w:ilvl w:val="0"/>
          <w:numId w:val="2"/>
        </w:numPr>
        <w:ind w:firstLineChars="0"/>
        <w:rPr>
          <w:sz w:val="24"/>
        </w:rPr>
      </w:pPr>
      <w:r>
        <w:rPr>
          <w:rFonts w:hint="eastAsia"/>
        </w:rPr>
        <w:t>学生在单位发布岗位之后，即可申请勤工助学岗位，用人单位可以在</w:t>
      </w:r>
      <w:r>
        <w:rPr>
          <w:sz w:val="24"/>
        </w:rPr>
        <w:t>“</w:t>
      </w:r>
      <w:r>
        <w:rPr>
          <w:rFonts w:hint="eastAsia"/>
          <w:b/>
          <w:color w:val="FF0000"/>
          <w:sz w:val="24"/>
        </w:rPr>
        <w:t>我的</w:t>
      </w:r>
      <w:r>
        <w:rPr>
          <w:b/>
          <w:color w:val="FF0000"/>
          <w:sz w:val="24"/>
        </w:rPr>
        <w:t>事务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 xml:space="preserve"> “</w:t>
      </w:r>
      <w:r>
        <w:rPr>
          <w:rFonts w:hint="eastAsia"/>
          <w:b/>
          <w:color w:val="FF0000"/>
          <w:sz w:val="24"/>
        </w:rPr>
        <w:t>勤工助学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>“</w:t>
      </w:r>
      <w:r>
        <w:rPr>
          <w:rFonts w:hint="eastAsia"/>
          <w:b/>
          <w:color w:val="FF0000"/>
          <w:sz w:val="24"/>
        </w:rPr>
        <w:t>勤工助学申请审核</w:t>
      </w:r>
      <w:r>
        <w:rPr>
          <w:sz w:val="24"/>
        </w:rPr>
        <w:t>”</w:t>
      </w:r>
      <w:r>
        <w:rPr>
          <w:rFonts w:hint="eastAsia"/>
          <w:sz w:val="24"/>
        </w:rPr>
        <w:t>中审核，如下图：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图片 7" o:spid="_x0000_s1032" type="#_x0000_t75" style="height:169.1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8"/>
        <w:numPr>
          <w:ilvl w:val="0"/>
          <w:numId w:val="2"/>
        </w:numPr>
        <w:ind w:firstLineChars="0"/>
        <w:rPr>
          <w:sz w:val="24"/>
        </w:rPr>
      </w:pPr>
      <w:r>
        <w:rPr>
          <w:rFonts w:hint="eastAsia"/>
          <w:sz w:val="24"/>
        </w:rPr>
        <w:t>对申请学生审核，约定面试时间，点击同意，进行确认，</w:t>
      </w:r>
    </w:p>
    <w:p>
      <w:pPr>
        <w:ind w:left="420"/>
        <w:rPr>
          <w:sz w:val="24"/>
        </w:rPr>
      </w:pPr>
      <w:r>
        <w:rPr>
          <w:rFonts w:hint="eastAsia"/>
          <w:sz w:val="24"/>
        </w:rPr>
        <w:t>面试之后，决定是否聘用该学生。</w:t>
      </w:r>
    </w:p>
    <w:p>
      <w:pPr>
        <w:pStyle w:val="14"/>
      </w:pPr>
      <w:r>
        <w:rPr>
          <w:rFonts w:hint="eastAsia"/>
        </w:rPr>
        <w:t>第五步：报酬发放申请</w:t>
      </w:r>
    </w:p>
    <w:p>
      <w:pPr>
        <w:pStyle w:val="18"/>
        <w:numPr>
          <w:ilvl w:val="0"/>
          <w:numId w:val="2"/>
        </w:numPr>
        <w:ind w:firstLineChars="0"/>
        <w:rPr>
          <w:sz w:val="24"/>
        </w:rPr>
      </w:pPr>
      <w:r>
        <w:rPr>
          <w:rFonts w:hint="eastAsia"/>
        </w:rPr>
        <w:t>每月给在本单位的勤工助学学生发放工资，需启动勤工助学报酬发放申请，可以在</w:t>
      </w:r>
      <w:r>
        <w:rPr>
          <w:sz w:val="24"/>
        </w:rPr>
        <w:t>“</w:t>
      </w:r>
      <w:r>
        <w:rPr>
          <w:rFonts w:hint="eastAsia"/>
          <w:b/>
          <w:color w:val="FF0000"/>
          <w:sz w:val="24"/>
        </w:rPr>
        <w:t>我的</w:t>
      </w:r>
      <w:r>
        <w:rPr>
          <w:b/>
          <w:color w:val="FF0000"/>
          <w:sz w:val="24"/>
        </w:rPr>
        <w:t>事务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 xml:space="preserve"> “</w:t>
      </w:r>
      <w:r>
        <w:rPr>
          <w:rFonts w:hint="eastAsia"/>
          <w:b/>
          <w:color w:val="FF0000"/>
          <w:sz w:val="24"/>
        </w:rPr>
        <w:t>勤工助学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 xml:space="preserve"> “</w:t>
      </w:r>
      <w:r>
        <w:rPr>
          <w:rFonts w:ascii="Trebuchet MS" w:hAnsi="Trebuchet MS"/>
          <w:b/>
          <w:bCs/>
          <w:sz w:val="13"/>
          <w:szCs w:val="13"/>
        </w:rPr>
        <w:t xml:space="preserve"> </w:t>
      </w:r>
      <w:r>
        <w:rPr>
          <w:color w:val="FF0000"/>
          <w:sz w:val="24"/>
        </w:rPr>
        <w:t>勤工助学报酬发放</w:t>
      </w:r>
      <w:r>
        <w:rPr>
          <w:sz w:val="24"/>
        </w:rPr>
        <w:t>”</w:t>
      </w:r>
      <w:r>
        <w:rPr>
          <w:rFonts w:hint="eastAsia"/>
          <w:sz w:val="24"/>
        </w:rPr>
        <w:t>中审核，如下图：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图片 10" o:spid="_x0000_s1033" type="#_x0000_t75" style="height:163.7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注：发放工资明细会默认带出用人单位目前在职学生的相关信息，可以点击“修改</w:t>
      </w:r>
      <w:r>
        <w:t>”</w:t>
      </w:r>
      <w:r>
        <w:rPr>
          <w:rFonts w:hint="eastAsia"/>
        </w:rPr>
        <w:t>,</w:t>
      </w:r>
    </w:p>
    <w:p>
      <w:r>
        <w:rPr>
          <w:rFonts w:hint="eastAsia"/>
        </w:rPr>
        <w:t>修改具体发放报酬情况，如下图：</w:t>
      </w:r>
    </w:p>
    <w:p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图片 40" o:spid="_x0000_s1034" type="#_x0000_t75" style="height:202.5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确认无误之后，可以点击</w:t>
      </w:r>
      <w:r>
        <w:rPr>
          <w:rFonts w:hint="eastAsia"/>
          <w:b/>
          <w:color w:val="FF0000"/>
          <w:sz w:val="24"/>
        </w:rPr>
        <w:t>即时</w:t>
      </w:r>
      <w:r>
        <w:rPr>
          <w:rFonts w:hint="eastAsia"/>
          <w:sz w:val="24"/>
        </w:rPr>
        <w:t>“</w:t>
      </w:r>
      <w:r>
        <w:rPr>
          <w:rFonts w:hint="eastAsia"/>
          <w:b/>
          <w:color w:val="FF0000"/>
          <w:sz w:val="24"/>
        </w:rPr>
        <w:t>提交</w:t>
      </w:r>
      <w:r>
        <w:rPr>
          <w:rFonts w:hint="eastAsia"/>
          <w:sz w:val="24"/>
        </w:rPr>
        <w:t>”或者先“</w:t>
      </w:r>
      <w:r>
        <w:rPr>
          <w:rFonts w:hint="eastAsia"/>
          <w:b/>
          <w:color w:val="FF0000"/>
          <w:sz w:val="24"/>
        </w:rPr>
        <w:t>保存</w:t>
      </w:r>
      <w:r>
        <w:rPr>
          <w:rFonts w:hint="eastAsia"/>
          <w:sz w:val="24"/>
        </w:rPr>
        <w:t>”暂不提交，操作界面如下：</w:t>
      </w:r>
    </w:p>
    <w:p>
      <w:pPr>
        <w:ind w:left="420"/>
        <w:rPr>
          <w:sz w:val="24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pict>
          <v:shape id="图片 43" o:spid="_x0000_s1035" type="#_x0000_t75" style="height:202.5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4"/>
      </w:pPr>
      <w:r>
        <w:rPr>
          <w:rFonts w:hint="eastAsia"/>
        </w:rPr>
        <w:t>信息查看和维护</w:t>
      </w:r>
    </w:p>
    <w:p>
      <w:pPr>
        <w:pStyle w:val="4"/>
      </w:pPr>
      <w:bookmarkStart w:id="1" w:name="_Toc398564318"/>
      <w:r>
        <w:rPr>
          <w:rFonts w:hint="eastAsia"/>
        </w:rPr>
        <w:t>勤工助学岗位查询</w:t>
      </w:r>
      <w:bookmarkEnd w:id="1"/>
    </w:p>
    <w:p>
      <w:pPr>
        <w:rPr>
          <w:sz w:val="24"/>
        </w:rPr>
      </w:pPr>
      <w:r>
        <w:rPr>
          <w:rFonts w:hint="eastAsia"/>
        </w:rPr>
        <w:t>用人单位可以在</w:t>
      </w:r>
      <w:r>
        <w:rPr>
          <w:sz w:val="24"/>
        </w:rPr>
        <w:t>“</w:t>
      </w:r>
      <w:r>
        <w:rPr>
          <w:rFonts w:hint="eastAsia"/>
          <w:b/>
          <w:color w:val="FF0000"/>
          <w:sz w:val="24"/>
        </w:rPr>
        <w:t>信息查看与管理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 xml:space="preserve"> “</w:t>
      </w:r>
      <w:r>
        <w:rPr>
          <w:rFonts w:hint="eastAsia"/>
          <w:b/>
          <w:color w:val="FF0000"/>
          <w:sz w:val="24"/>
        </w:rPr>
        <w:t>勤工助学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 xml:space="preserve"> “</w:t>
      </w:r>
      <w:r>
        <w:rPr>
          <w:rFonts w:ascii="Trebuchet MS" w:hAnsi="Trebuchet MS"/>
          <w:b/>
          <w:bCs/>
          <w:sz w:val="13"/>
          <w:szCs w:val="13"/>
        </w:rPr>
        <w:t xml:space="preserve"> </w:t>
      </w:r>
      <w:r>
        <w:rPr>
          <w:b/>
          <w:color w:val="FF0000"/>
          <w:sz w:val="24"/>
        </w:rPr>
        <w:t>勤工助学</w:t>
      </w:r>
      <w:r>
        <w:rPr>
          <w:rFonts w:hint="eastAsia"/>
          <w:b/>
          <w:color w:val="FF0000"/>
          <w:sz w:val="24"/>
        </w:rPr>
        <w:t>岗位查询</w:t>
      </w:r>
      <w:r>
        <w:rPr>
          <w:sz w:val="24"/>
        </w:rPr>
        <w:t>”</w:t>
      </w:r>
      <w:r>
        <w:rPr>
          <w:rFonts w:hint="eastAsia"/>
          <w:sz w:val="24"/>
        </w:rPr>
        <w:t>中查询本单位发布的岗位具体情况，如下图：</w:t>
      </w:r>
    </w:p>
    <w:p>
      <w:pPr>
        <w:rPr>
          <w:sz w:val="24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pict>
          <v:shape id="图片 52" o:spid="_x0000_s1036" type="#_x0000_t75" style="height:204.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2" w:name="_Toc398564319"/>
      <w:r>
        <w:rPr>
          <w:rFonts w:hint="eastAsia"/>
        </w:rPr>
        <w:t>维护本单位的勤工助学学生信息</w:t>
      </w:r>
      <w:bookmarkEnd w:id="2"/>
    </w:p>
    <w:p>
      <w:pPr>
        <w:rPr>
          <w:sz w:val="24"/>
        </w:rPr>
      </w:pPr>
      <w:r>
        <w:rPr>
          <w:rFonts w:hint="eastAsia"/>
        </w:rPr>
        <w:t>用人单位可以在</w:t>
      </w:r>
      <w:r>
        <w:rPr>
          <w:sz w:val="24"/>
        </w:rPr>
        <w:t>“</w:t>
      </w:r>
      <w:r>
        <w:rPr>
          <w:rFonts w:hint="eastAsia"/>
          <w:b/>
          <w:color w:val="FF0000"/>
          <w:sz w:val="24"/>
        </w:rPr>
        <w:t>信息查看与管理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 xml:space="preserve"> “</w:t>
      </w:r>
      <w:r>
        <w:rPr>
          <w:rFonts w:hint="eastAsia"/>
          <w:b/>
          <w:color w:val="FF0000"/>
          <w:sz w:val="24"/>
        </w:rPr>
        <w:t>勤工助学</w:t>
      </w:r>
      <w:r>
        <w:rPr>
          <w:sz w:val="24"/>
        </w:rPr>
        <w:t>”</w:t>
      </w:r>
      <w:r>
        <w:rPr>
          <w:rFonts w:hint="eastAsia" w:ascii="宋体" w:hAnsi="宋体"/>
          <w:sz w:val="24"/>
        </w:rPr>
        <w:t>→</w:t>
      </w:r>
      <w:r>
        <w:rPr>
          <w:sz w:val="24"/>
        </w:rPr>
        <w:t xml:space="preserve"> “</w:t>
      </w:r>
      <w:r>
        <w:rPr>
          <w:rFonts w:ascii="Trebuchet MS" w:hAnsi="Trebuchet MS"/>
          <w:b/>
          <w:bCs/>
          <w:sz w:val="13"/>
          <w:szCs w:val="13"/>
        </w:rPr>
        <w:t xml:space="preserve"> </w:t>
      </w:r>
      <w:r>
        <w:rPr>
          <w:rFonts w:hint="eastAsia"/>
          <w:b/>
          <w:color w:val="FF0000"/>
          <w:sz w:val="24"/>
        </w:rPr>
        <w:t>我单位的勤工助学学生名单</w:t>
      </w:r>
      <w:r>
        <w:rPr>
          <w:sz w:val="24"/>
        </w:rPr>
        <w:t>”</w:t>
      </w:r>
      <w:r>
        <w:rPr>
          <w:rFonts w:hint="eastAsia"/>
          <w:sz w:val="24"/>
        </w:rPr>
        <w:t>中查询目前在本单位工作的学生情况，如下图：</w:t>
      </w:r>
    </w:p>
    <w:p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图片 55" o:spid="_x0000_s1037" type="#_x0000_t75" style="height:204.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如果学生完成岗位的工作或者离职，需要用人单位维护学生的当前状态，进行离职登记，如下图：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图片 58" o:spid="_x0000_s1038" type="#_x0000_t75" style="height:204.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b/>
          <w:color w:val="FF0000"/>
        </w:rPr>
      </w:pPr>
      <w:r>
        <w:rPr>
          <w:rFonts w:hint="eastAsia"/>
          <w:b/>
          <w:color w:val="FF0000"/>
        </w:rPr>
        <w:t>注：每个学生离职需要及时登记，因为工资需要根据这些来计算</w:t>
      </w:r>
    </w:p>
    <w:p>
      <w:r>
        <w:rPr>
          <w:rFonts w:hint="eastAsia"/>
        </w:rPr>
        <w:t>如果不小心操作错误，可以点击撤销离职登记修改回来，确认要修改，点击确认，如下图：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图片 61" o:spid="_x0000_s1039" type="#_x0000_t75" style="height:204.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3" w:name="_Toc398564320"/>
      <w:r>
        <w:rPr>
          <w:rFonts w:hint="eastAsia"/>
        </w:rPr>
        <w:t>查看本单位学生工资发放情况</w:t>
      </w:r>
      <w:bookmarkEnd w:id="3"/>
    </w:p>
    <w:p>
      <w:r>
        <w:rPr>
          <w:rFonts w:hint="eastAsia"/>
        </w:rPr>
        <w:t>用人单位发放工资之后，可以查询本单位勤工助学的学生工资发放情况，如下图</w:t>
      </w:r>
    </w:p>
    <w:p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shape id="图片 64" o:spid="_x0000_s1040" type="#_x0000_t75" style="height:204.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ind w:left="420"/>
        <w:rPr>
          <w:sz w:val="24"/>
        </w:rPr>
      </w:pPr>
    </w:p>
    <w:p/>
    <w:p>
      <w:pPr>
        <w:jc w:val="right"/>
      </w:pPr>
      <w:r>
        <w:rPr>
          <w:rFonts w:hint="eastAsia"/>
        </w:rPr>
        <w:t>--文档结束--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17348880">
    <w:nsid w:val="1ED61E10"/>
    <w:multiLevelType w:val="multilevel"/>
    <w:tmpl w:val="1ED61E10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76112210">
    <w:nsid w:val="461A0C52"/>
    <w:multiLevelType w:val="multilevel"/>
    <w:tmpl w:val="461A0C52"/>
    <w:lvl w:ilvl="0" w:tentative="1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1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</w:lvl>
    <w:lvl w:ilvl="2" w:tentative="1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</w:lvl>
    <w:lvl w:ilvl="3" w:tentative="1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</w:lvl>
    <w:lvl w:ilvl="4" w:tentative="1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1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1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1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1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1176112210"/>
  </w:num>
  <w:num w:numId="2">
    <w:abstractNumId w:val="51734888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  <o:shapelayout v:ext="edit">
      <o:rules v:ext="edit">
        <o:r id="V:Rule1" type="callout" idref="#Rounded Rectangular Callout 3"/>
        <o:r id="V:Rule2" type="callout" idref="#Rounded Rectangular Callout 2"/>
        <o:r id="V:Rule3" type="callout" idref="#Oval Callout 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pageBreakBefore/>
      <w:numPr>
        <w:ilvl w:val="0"/>
        <w:numId w:val="1"/>
      </w:numPr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qFormat/>
    <w:uiPriority w:val="0"/>
    <w:pPr>
      <w:keepNext/>
      <w:keepLines/>
      <w:numPr>
        <w:ilvl w:val="1"/>
        <w:numId w:val="1"/>
      </w:numPr>
      <w:tabs>
        <w:tab w:val="left" w:pos="432"/>
      </w:tabs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link w:val="23"/>
    <w:qFormat/>
    <w:uiPriority w:val="0"/>
    <w:pPr>
      <w:keepNext/>
      <w:keepLines/>
      <w:numPr>
        <w:ilvl w:val="2"/>
        <w:numId w:val="1"/>
      </w:numPr>
      <w:tabs>
        <w:tab w:val="left" w:pos="432"/>
      </w:tabs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24"/>
    <w:qFormat/>
    <w:uiPriority w:val="0"/>
    <w:pPr>
      <w:keepNext/>
      <w:keepLines/>
      <w:numPr>
        <w:ilvl w:val="3"/>
        <w:numId w:val="1"/>
      </w:numPr>
      <w:tabs>
        <w:tab w:val="left" w:pos="432"/>
      </w:tabs>
      <w:spacing w:before="280" w:after="290" w:line="376" w:lineRule="auto"/>
      <w:outlineLvl w:val="3"/>
    </w:pPr>
    <w:rPr>
      <w:b/>
      <w:bCs/>
      <w:szCs w:val="28"/>
    </w:rPr>
  </w:style>
  <w:style w:type="paragraph" w:styleId="6">
    <w:name w:val="heading 5"/>
    <w:basedOn w:val="1"/>
    <w:next w:val="1"/>
    <w:link w:val="25"/>
    <w:qFormat/>
    <w:uiPriority w:val="0"/>
    <w:pPr>
      <w:keepNext/>
      <w:keepLines/>
      <w:numPr>
        <w:ilvl w:val="4"/>
        <w:numId w:val="1"/>
      </w:numPr>
      <w:tabs>
        <w:tab w:val="left" w:pos="432"/>
      </w:tabs>
      <w:outlineLvl w:val="4"/>
    </w:pPr>
    <w:rPr>
      <w:b/>
      <w:bCs/>
      <w:szCs w:val="28"/>
    </w:rPr>
  </w:style>
  <w:style w:type="paragraph" w:styleId="7">
    <w:name w:val="heading 6"/>
    <w:basedOn w:val="1"/>
    <w:next w:val="1"/>
    <w:link w:val="26"/>
    <w:qFormat/>
    <w:uiPriority w:val="0"/>
    <w:pPr>
      <w:keepNext/>
      <w:keepLines/>
      <w:numPr>
        <w:ilvl w:val="5"/>
        <w:numId w:val="1"/>
      </w:numPr>
      <w:tabs>
        <w:tab w:val="left" w:pos="432"/>
      </w:tabs>
      <w:outlineLvl w:val="5"/>
    </w:pPr>
    <w:rPr>
      <w:b/>
      <w:bCs/>
    </w:rPr>
  </w:style>
  <w:style w:type="paragraph" w:styleId="8">
    <w:name w:val="heading 7"/>
    <w:basedOn w:val="1"/>
    <w:next w:val="1"/>
    <w:link w:val="27"/>
    <w:qFormat/>
    <w:uiPriority w:val="0"/>
    <w:pPr>
      <w:keepNext/>
      <w:keepLines/>
      <w:numPr>
        <w:ilvl w:val="6"/>
        <w:numId w:val="1"/>
      </w:numPr>
      <w:tabs>
        <w:tab w:val="left" w:pos="432"/>
      </w:tabs>
      <w:outlineLvl w:val="6"/>
    </w:pPr>
    <w:rPr>
      <w:b/>
      <w:bCs/>
    </w:rPr>
  </w:style>
  <w:style w:type="paragraph" w:styleId="9">
    <w:name w:val="heading 8"/>
    <w:basedOn w:val="1"/>
    <w:next w:val="1"/>
    <w:link w:val="28"/>
    <w:qFormat/>
    <w:uiPriority w:val="0"/>
    <w:pPr>
      <w:keepNext/>
      <w:keepLines/>
      <w:numPr>
        <w:ilvl w:val="7"/>
        <w:numId w:val="1"/>
      </w:numPr>
      <w:tabs>
        <w:tab w:val="left" w:pos="432"/>
      </w:tabs>
      <w:outlineLvl w:val="7"/>
    </w:pPr>
    <w:rPr>
      <w:b/>
    </w:rPr>
  </w:style>
  <w:style w:type="paragraph" w:styleId="10">
    <w:name w:val="heading 9"/>
    <w:basedOn w:val="1"/>
    <w:next w:val="1"/>
    <w:link w:val="29"/>
    <w:qFormat/>
    <w:uiPriority w:val="0"/>
    <w:pPr>
      <w:keepNext/>
      <w:keepLines/>
      <w:numPr>
        <w:ilvl w:val="8"/>
        <w:numId w:val="1"/>
      </w:numPr>
      <w:tabs>
        <w:tab w:val="left" w:pos="432"/>
      </w:tabs>
      <w:outlineLvl w:val="8"/>
    </w:pPr>
    <w:rPr>
      <w:b/>
      <w:szCs w:val="21"/>
    </w:rPr>
  </w:style>
  <w:style w:type="character" w:default="1" w:styleId="15">
    <w:name w:val="Default Paragraph Font"/>
    <w:semiHidden/>
    <w:unhideWhenUsed/>
    <w:uiPriority w:val="1"/>
  </w:style>
  <w:style w:type="paragraph" w:styleId="11">
    <w:name w:val="Balloon Text"/>
    <w:basedOn w:val="1"/>
    <w:link w:val="31"/>
    <w:semiHidden/>
    <w:unhideWhenUsed/>
    <w:uiPriority w:val="99"/>
    <w:pPr>
      <w:spacing w:before="0" w:after="0"/>
    </w:pPr>
    <w:rPr>
      <w:sz w:val="18"/>
      <w:szCs w:val="18"/>
    </w:rPr>
  </w:style>
  <w:style w:type="paragraph" w:styleId="12">
    <w:name w:val="footer"/>
    <w:basedOn w:val="1"/>
    <w:link w:val="2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1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itle"/>
    <w:basedOn w:val="1"/>
    <w:next w:val="1"/>
    <w:link w:val="30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16">
    <w:name w:val="Hyperlink"/>
    <w:uiPriority w:val="99"/>
    <w:rPr>
      <w:color w:val="0000FF"/>
      <w:u w:val="single"/>
    </w:rPr>
  </w:style>
  <w:style w:type="paragraph" w:customStyle="1" w:styleId="17">
    <w:name w:val="首页标题"/>
    <w:basedOn w:val="1"/>
    <w:uiPriority w:val="0"/>
    <w:pPr>
      <w:jc w:val="center"/>
    </w:pPr>
    <w:rPr>
      <w:rFonts w:ascii="宋体" w:hAnsi="宋体" w:cs="宋体"/>
      <w:b/>
      <w:bCs/>
      <w:sz w:val="44"/>
      <w:szCs w:val="20"/>
    </w:rPr>
  </w:style>
  <w:style w:type="paragraph" w:customStyle="1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页眉 Char"/>
    <w:basedOn w:val="15"/>
    <w:link w:val="13"/>
    <w:semiHidden/>
    <w:uiPriority w:val="99"/>
    <w:rPr>
      <w:sz w:val="18"/>
      <w:szCs w:val="18"/>
    </w:rPr>
  </w:style>
  <w:style w:type="character" w:customStyle="1" w:styleId="20">
    <w:name w:val="页脚 Char"/>
    <w:basedOn w:val="15"/>
    <w:link w:val="12"/>
    <w:semiHidden/>
    <w:uiPriority w:val="99"/>
    <w:rPr>
      <w:sz w:val="18"/>
      <w:szCs w:val="18"/>
    </w:rPr>
  </w:style>
  <w:style w:type="character" w:customStyle="1" w:styleId="21">
    <w:name w:val="标题 1 Char"/>
    <w:aliases w:val="H1 Char,Heading 0 Char,R1 Char,H11 Char"/>
    <w:basedOn w:val="15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2">
    <w:name w:val="标题 2 Char"/>
    <w:basedOn w:val="15"/>
    <w:link w:val="3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3">
    <w:name w:val="标题 3 Char"/>
    <w:basedOn w:val="15"/>
    <w:link w:val="4"/>
    <w:uiPriority w:val="0"/>
    <w:rPr>
      <w:rFonts w:ascii="Times New Roman" w:hAnsi="Times New Roman" w:eastAsia="宋体" w:cs="Times New Roman"/>
      <w:b/>
      <w:bCs/>
      <w:sz w:val="28"/>
      <w:szCs w:val="32"/>
    </w:rPr>
  </w:style>
  <w:style w:type="character" w:customStyle="1" w:styleId="24">
    <w:name w:val="标题 4 Char"/>
    <w:basedOn w:val="15"/>
    <w:link w:val="5"/>
    <w:uiPriority w:val="0"/>
    <w:rPr>
      <w:rFonts w:ascii="Times New Roman" w:hAnsi="Times New Roman" w:eastAsia="宋体" w:cs="Times New Roman"/>
      <w:b/>
      <w:bCs/>
      <w:szCs w:val="28"/>
    </w:rPr>
  </w:style>
  <w:style w:type="character" w:customStyle="1" w:styleId="25">
    <w:name w:val="标题 5 Char"/>
    <w:aliases w:val="H5 Char"/>
    <w:basedOn w:val="15"/>
    <w:link w:val="6"/>
    <w:uiPriority w:val="0"/>
    <w:rPr>
      <w:rFonts w:ascii="Times New Roman" w:hAnsi="Times New Roman" w:eastAsia="宋体" w:cs="Times New Roman"/>
      <w:b/>
      <w:bCs/>
      <w:szCs w:val="28"/>
    </w:rPr>
  </w:style>
  <w:style w:type="character" w:customStyle="1" w:styleId="26">
    <w:name w:val="标题 6 Char"/>
    <w:basedOn w:val="15"/>
    <w:link w:val="7"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27">
    <w:name w:val="标题 7 Char"/>
    <w:basedOn w:val="15"/>
    <w:link w:val="8"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28">
    <w:name w:val="标题 8 Char"/>
    <w:basedOn w:val="15"/>
    <w:link w:val="9"/>
    <w:uiPriority w:val="0"/>
    <w:rPr>
      <w:rFonts w:ascii="Times New Roman" w:hAnsi="Times New Roman" w:eastAsia="宋体" w:cs="Times New Roman"/>
      <w:b/>
      <w:szCs w:val="24"/>
    </w:rPr>
  </w:style>
  <w:style w:type="character" w:customStyle="1" w:styleId="29">
    <w:name w:val="标题 9 Char"/>
    <w:basedOn w:val="15"/>
    <w:link w:val="10"/>
    <w:uiPriority w:val="0"/>
    <w:rPr>
      <w:rFonts w:ascii="Times New Roman" w:hAnsi="Times New Roman" w:eastAsia="宋体" w:cs="Times New Roman"/>
      <w:b/>
      <w:szCs w:val="21"/>
    </w:rPr>
  </w:style>
  <w:style w:type="character" w:customStyle="1" w:styleId="30">
    <w:name w:val="标题 Char"/>
    <w:basedOn w:val="15"/>
    <w:link w:val="14"/>
    <w:uiPriority w:val="10"/>
    <w:rPr>
      <w:rFonts w:ascii="Cambria" w:hAnsi="Cambria" w:eastAsia="宋体"/>
      <w:b/>
      <w:bCs/>
      <w:sz w:val="32"/>
      <w:szCs w:val="32"/>
    </w:rPr>
  </w:style>
  <w:style w:type="character" w:customStyle="1" w:styleId="31">
    <w:name w:val="批注框文本 Char"/>
    <w:basedOn w:val="15"/>
    <w:link w:val="11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customXml" Target="../customXml/item1.xml"/><Relationship Id="rId18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159</Words>
  <Characters>911</Characters>
  <Lines>7</Lines>
  <Paragraphs>2</Paragraphs>
  <ScaleCrop>false</ScaleCrop>
  <LinksUpToDate>false</LinksUpToDate>
  <CharactersWithSpaces>0</CharactersWithSpaces>
  <Application>WPS Office 个人版_9.1.0.4843_{F1E327BC-269C-435d-A152-05C5408002CA}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2014-09-26T06:58:00Z</dcterms:created>
  <dc:creator>landy</dc:creator>
  <cp:lastModifiedBy>南京交通职业技术学院</cp:lastModifiedBy>
  <dcterms:modified xsi:type="dcterms:W3CDTF">2014-09-28T01:39:48Z</dcterms:modified>
  <dc:title>南京交通职业技术学院数字化校园项目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