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outlineLvl w:val="0"/>
        <w:rPr>
          <w:rFonts w:hint="eastAsia" w:eastAsia="仿宋_GB2312"/>
          <w:b/>
          <w:bCs w:val="0"/>
          <w:color w:val="auto"/>
          <w:kern w:val="0"/>
          <w:sz w:val="30"/>
          <w:szCs w:val="30"/>
          <w:lang w:val="en-US" w:eastAsia="zh-CN"/>
        </w:rPr>
      </w:pPr>
      <w:r>
        <w:rPr>
          <w:rFonts w:eastAsia="仿宋_GB2312"/>
          <w:b/>
          <w:bCs w:val="0"/>
          <w:color w:val="auto"/>
          <w:kern w:val="0"/>
          <w:sz w:val="30"/>
          <w:szCs w:val="30"/>
        </w:rPr>
        <w:t>附件</w:t>
      </w:r>
      <w:r>
        <w:rPr>
          <w:rFonts w:hint="eastAsia" w:eastAsia="仿宋_GB2312"/>
          <w:b/>
          <w:bCs w:val="0"/>
          <w:color w:val="auto"/>
          <w:kern w:val="0"/>
          <w:sz w:val="30"/>
          <w:szCs w:val="30"/>
          <w:lang w:val="en-US" w:eastAsia="zh-CN"/>
        </w:rPr>
        <w:t>2</w:t>
      </w:r>
    </w:p>
    <w:p>
      <w:pPr>
        <w:spacing w:line="540" w:lineRule="exact"/>
        <w:outlineLvl w:val="0"/>
        <w:rPr>
          <w:rFonts w:hint="eastAsia" w:eastAsia="仿宋_GB2312"/>
          <w:b/>
          <w:bCs w:val="0"/>
          <w:color w:val="auto"/>
          <w:kern w:val="0"/>
          <w:sz w:val="30"/>
          <w:szCs w:val="30"/>
          <w:lang w:val="en-US" w:eastAsia="zh-CN"/>
        </w:rPr>
      </w:pPr>
    </w:p>
    <w:p>
      <w:pPr>
        <w:spacing w:line="540" w:lineRule="exact"/>
        <w:jc w:val="center"/>
        <w:outlineLvl w:val="0"/>
        <w:rPr>
          <w:rFonts w:hint="eastAsia" w:eastAsia="仿宋_GB2312"/>
          <w:b/>
          <w:bCs/>
          <w:color w:val="auto"/>
          <w:kern w:val="0"/>
          <w:sz w:val="30"/>
          <w:szCs w:val="30"/>
          <w:lang w:eastAsia="zh-CN"/>
        </w:rPr>
      </w:pPr>
      <w:bookmarkStart w:id="0" w:name="_GoBack"/>
      <w:r>
        <w:rPr>
          <w:rFonts w:eastAsia="仿宋_GB2312"/>
          <w:b/>
          <w:bCs/>
          <w:color w:val="auto"/>
          <w:kern w:val="0"/>
          <w:sz w:val="30"/>
          <w:szCs w:val="30"/>
        </w:rPr>
        <w:t>20</w:t>
      </w:r>
      <w:r>
        <w:rPr>
          <w:rFonts w:hint="eastAsia" w:eastAsia="仿宋_GB2312"/>
          <w:b/>
          <w:bCs/>
          <w:color w:val="auto"/>
          <w:kern w:val="0"/>
          <w:sz w:val="30"/>
          <w:szCs w:val="30"/>
          <w:lang w:val="en-US" w:eastAsia="zh-CN"/>
        </w:rPr>
        <w:t>21</w:t>
      </w:r>
      <w:r>
        <w:rPr>
          <w:rFonts w:eastAsia="仿宋_GB2312"/>
          <w:b/>
          <w:bCs/>
          <w:color w:val="auto"/>
          <w:kern w:val="0"/>
          <w:sz w:val="30"/>
          <w:szCs w:val="30"/>
        </w:rPr>
        <w:t>年江苏省高职院校教师</w:t>
      </w:r>
      <w:r>
        <w:rPr>
          <w:rFonts w:hint="eastAsia" w:eastAsia="仿宋_GB2312"/>
          <w:b/>
          <w:bCs/>
          <w:color w:val="auto"/>
          <w:kern w:val="0"/>
          <w:sz w:val="30"/>
          <w:szCs w:val="30"/>
        </w:rPr>
        <w:t>省级</w:t>
      </w:r>
      <w:r>
        <w:rPr>
          <w:rFonts w:eastAsia="仿宋_GB2312"/>
          <w:b/>
          <w:bCs/>
          <w:color w:val="auto"/>
          <w:kern w:val="0"/>
          <w:sz w:val="30"/>
          <w:szCs w:val="30"/>
        </w:rPr>
        <w:t>培训</w:t>
      </w:r>
      <w:r>
        <w:rPr>
          <w:rFonts w:hint="eastAsia" w:eastAsia="仿宋_GB2312"/>
          <w:b/>
          <w:bCs/>
          <w:color w:val="auto"/>
          <w:kern w:val="0"/>
          <w:sz w:val="30"/>
          <w:szCs w:val="30"/>
        </w:rPr>
        <w:t>需求填报</w:t>
      </w:r>
      <w:r>
        <w:rPr>
          <w:rFonts w:hint="eastAsia" w:eastAsia="仿宋_GB2312"/>
          <w:b/>
          <w:bCs/>
          <w:color w:val="auto"/>
          <w:kern w:val="0"/>
          <w:sz w:val="30"/>
          <w:szCs w:val="30"/>
          <w:lang w:eastAsia="zh-CN"/>
        </w:rPr>
        <w:t>说明</w:t>
      </w:r>
    </w:p>
    <w:bookmarkEnd w:id="0"/>
    <w:p>
      <w:pPr>
        <w:spacing w:line="540" w:lineRule="exact"/>
        <w:jc w:val="center"/>
        <w:outlineLvl w:val="0"/>
        <w:rPr>
          <w:rFonts w:hint="eastAsia" w:eastAsia="仿宋_GB2312"/>
          <w:b/>
          <w:bCs/>
          <w:color w:val="auto"/>
          <w:kern w:val="0"/>
          <w:sz w:val="30"/>
          <w:szCs w:val="30"/>
          <w:lang w:eastAsia="zh-CN"/>
        </w:rPr>
      </w:pPr>
    </w:p>
    <w:tbl>
      <w:tblPr>
        <w:tblStyle w:val="3"/>
        <w:tblW w:w="94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1575"/>
        <w:gridCol w:w="4110"/>
        <w:gridCol w:w="2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723" w:type="dxa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hint="eastAsia" w:eastAsia="仿宋_GB2312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eastAsia="仿宋_GB2312"/>
                <w:b/>
                <w:bCs/>
                <w:color w:val="auto"/>
                <w:kern w:val="0"/>
                <w:szCs w:val="21"/>
              </w:rPr>
              <w:t>培训类别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/>
                <w:bCs/>
                <w:color w:val="auto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Cs w:val="21"/>
              </w:rPr>
              <w:t>培训项目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hint="eastAsia" w:eastAsia="仿宋_GB2312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auto"/>
                <w:kern w:val="0"/>
                <w:szCs w:val="21"/>
                <w:lang w:eastAsia="zh-CN"/>
              </w:rPr>
              <w:t>填报说明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hint="eastAsia" w:eastAsia="仿宋_GB2312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auto"/>
                <w:kern w:val="0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  <w:jc w:val="center"/>
        </w:trPr>
        <w:tc>
          <w:tcPr>
            <w:tcW w:w="1723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专业带头人高端研修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eastAsia="仿宋_GB2312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教师个人访学研修</w:t>
            </w:r>
          </w:p>
        </w:tc>
        <w:tc>
          <w:tcPr>
            <w:tcW w:w="4110" w:type="dxa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eastAsia="仿宋_GB2312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申报此类项目需求的老师须满足《江苏省高职院校教师专业带头人高端研修实施办法》中的基本条件。</w:t>
            </w:r>
          </w:p>
        </w:tc>
        <w:tc>
          <w:tcPr>
            <w:tcW w:w="2007" w:type="dxa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eastAsia="仿宋_GB2312"/>
                <w:b w:val="0"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  <w:jc w:val="center"/>
        </w:trPr>
        <w:tc>
          <w:tcPr>
            <w:tcW w:w="172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eastAsia="仿宋_GB2312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教学、科研团队访学研修</w:t>
            </w:r>
          </w:p>
        </w:tc>
        <w:tc>
          <w:tcPr>
            <w:tcW w:w="4110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b w:val="0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723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</w:rPr>
              <w:t>青年教师企业实践培训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4周（</w:t>
            </w:r>
            <w:r>
              <w:rPr>
                <w:rFonts w:hint="eastAsia" w:eastAsia="仿宋_GB2312"/>
                <w:bCs/>
                <w:color w:val="auto"/>
                <w:kern w:val="0"/>
                <w:szCs w:val="21"/>
              </w:rPr>
              <w:t>一月期</w:t>
            </w: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110" w:type="dxa"/>
            <w:vMerge w:val="restar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申报此类项目需求的老师须满足《江苏省高职院校教师青年教师企业实践实施办法》中的基本条件。</w:t>
            </w:r>
          </w:p>
        </w:tc>
        <w:tc>
          <w:tcPr>
            <w:tcW w:w="2007" w:type="dxa"/>
            <w:vMerge w:val="restar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eastAsia="仿宋_GB2312"/>
                <w:b w:val="0"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2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12周（</w:t>
            </w:r>
            <w:r>
              <w:rPr>
                <w:rFonts w:hint="eastAsia" w:eastAsia="仿宋_GB2312"/>
                <w:bCs/>
                <w:color w:val="auto"/>
                <w:kern w:val="0"/>
                <w:szCs w:val="21"/>
              </w:rPr>
              <w:t>三月期</w:t>
            </w: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11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 w:val="0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72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26周（</w:t>
            </w:r>
            <w:r>
              <w:rPr>
                <w:rFonts w:hint="eastAsia" w:eastAsia="仿宋_GB2312"/>
                <w:bCs/>
                <w:color w:val="auto"/>
                <w:kern w:val="0"/>
                <w:szCs w:val="21"/>
              </w:rPr>
              <w:t>半年期</w:t>
            </w: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11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 w:val="0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2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52周（</w:t>
            </w:r>
            <w:r>
              <w:rPr>
                <w:rFonts w:hint="eastAsia" w:eastAsia="仿宋_GB2312"/>
                <w:bCs/>
                <w:color w:val="auto"/>
                <w:kern w:val="0"/>
                <w:szCs w:val="21"/>
              </w:rPr>
              <w:t>一年期</w:t>
            </w: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11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 w:val="0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exact"/>
          <w:jc w:val="center"/>
        </w:trPr>
        <w:tc>
          <w:tcPr>
            <w:tcW w:w="1723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eastAsia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</w:rPr>
              <w:t>骨干教师教学能力提升培训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专业类教师教学能力提升培训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240" w:lineRule="auto"/>
              <w:jc w:val="left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需具体到专业大类和专业方向，培训需求填报总量不超过本校专任教师数的</w:t>
            </w: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8%。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spacing w:line="240" w:lineRule="auto"/>
              <w:jc w:val="both"/>
              <w:outlineLvl w:val="0"/>
              <w:rPr>
                <w:rFonts w:hint="eastAsia" w:eastAsia="仿宋_GB2312"/>
                <w:b w:val="0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/>
                <w:bCs w:val="0"/>
                <w:color w:val="auto"/>
                <w:kern w:val="0"/>
                <w:szCs w:val="21"/>
                <w:lang w:eastAsia="zh-CN"/>
              </w:rPr>
              <w:t>参培教师</w:t>
            </w:r>
            <w:r>
              <w:rPr>
                <w:rFonts w:hint="eastAsia" w:eastAsia="仿宋_GB2312"/>
                <w:b w:val="0"/>
                <w:bCs/>
                <w:color w:val="auto"/>
                <w:kern w:val="0"/>
                <w:szCs w:val="21"/>
                <w:lang w:eastAsia="zh-CN"/>
              </w:rPr>
              <w:t>通过网络管理系统申报，需写明具体培训内容需求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172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教师基本素养培训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240" w:lineRule="auto"/>
              <w:jc w:val="left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同一学校每班不超过2人，每校总人数不超过6人。</w:t>
            </w:r>
          </w:p>
        </w:tc>
        <w:tc>
          <w:tcPr>
            <w:tcW w:w="2007" w:type="dxa"/>
            <w:vMerge w:val="restart"/>
            <w:noWrap w:val="0"/>
            <w:vAlign w:val="center"/>
          </w:tcPr>
          <w:p>
            <w:pPr>
              <w:spacing w:line="240" w:lineRule="auto"/>
              <w:jc w:val="left"/>
              <w:outlineLvl w:val="0"/>
              <w:rPr>
                <w:rFonts w:hint="eastAsia" w:eastAsia="仿宋_GB2312"/>
                <w:b w:val="0"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  <w:jc w:val="center"/>
        </w:trPr>
        <w:tc>
          <w:tcPr>
            <w:tcW w:w="172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eastAsia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高职教育热点专项培训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240" w:lineRule="auto"/>
              <w:jc w:val="left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同一学校每班不超过2人，每校总人数不超过4人。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spacing w:line="240" w:lineRule="auto"/>
              <w:jc w:val="left"/>
              <w:outlineLvl w:val="0"/>
              <w:rPr>
                <w:rFonts w:hint="eastAsia" w:eastAsia="仿宋_GB2312"/>
                <w:b w:val="0"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exact"/>
          <w:jc w:val="center"/>
        </w:trPr>
        <w:tc>
          <w:tcPr>
            <w:tcW w:w="1723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国际合作职业教育专题培训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国际合作职业教育专题培训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240" w:lineRule="auto"/>
              <w:jc w:val="left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此培训为骨干教师专项培训，专题涉及职业教育理念与方法、专业课程建设、教育教学法等。同一学校每班不超过2人，每校总人数不超过4人。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spacing w:line="240" w:lineRule="auto"/>
              <w:jc w:val="both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exact"/>
          <w:jc w:val="center"/>
        </w:trPr>
        <w:tc>
          <w:tcPr>
            <w:tcW w:w="1723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default" w:eastAsia="仿宋_GB2312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全国职业院校技能大赛教练培训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全国职业院校技能大赛教练培训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240" w:lineRule="auto"/>
              <w:jc w:val="left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此培训根据全国职业院校技能大赛进行专项技能培训，</w:t>
            </w:r>
            <w:r>
              <w:rPr>
                <w:rFonts w:hint="eastAsia" w:eastAsia="仿宋_GB2312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申报此类项目需求的老师须有参赛计划</w:t>
            </w: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。每校总人数不超过8人。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spacing w:line="240" w:lineRule="auto"/>
              <w:jc w:val="both"/>
              <w:outlineLvl w:val="0"/>
              <w:rPr>
                <w:rFonts w:hint="eastAsia" w:eastAsia="仿宋_GB2312"/>
                <w:b/>
                <w:bCs w:val="0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exact"/>
          <w:jc w:val="center"/>
        </w:trPr>
        <w:tc>
          <w:tcPr>
            <w:tcW w:w="1723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</w:rPr>
              <w:t>境外研修英语能力提升培训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default" w:eastAsia="仿宋_GB2312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eastAsia="zh-CN"/>
              </w:rPr>
              <w:t>中青年骨干教师</w:t>
            </w: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境外研修英语能力提升培训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240" w:lineRule="auto"/>
              <w:jc w:val="left"/>
              <w:outlineLvl w:val="0"/>
              <w:rPr>
                <w:rFonts w:hint="default" w:eastAsia="仿宋_GB2312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  <w:t>申报此类项目需求的老师须为中青年骨干教师，且有申请赴境外研修的计划。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hint="eastAsia" w:eastAsia="仿宋_GB2312"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B58A7"/>
    <w:rsid w:val="54CB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2020-11-05T06:16:00Z</dcterms:created>
  <dc:creator>木木</dc:creator>
  <cp:lastModifiedBy>木木</cp:lastModifiedBy>
  <dcterms:modified xsi:type="dcterms:W3CDTF">2020-11-05T06:18:29Z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